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824" w:rsidRDefault="006C6824">
      <w:r w:rsidRPr="006C6824">
        <w:rPr>
          <w:noProof/>
        </w:rPr>
        <w:drawing>
          <wp:inline distT="0" distB="0" distL="0" distR="0">
            <wp:extent cx="6120130" cy="1513376"/>
            <wp:effectExtent l="19050" t="0" r="0" b="0"/>
            <wp:docPr id="1" name="Immagine 1" descr="logo_nuovo_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824" w:rsidRPr="006C6824" w:rsidRDefault="006C6824" w:rsidP="006C682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CAPITOLATO TECNICO</w:t>
      </w:r>
    </w:p>
    <w:p w:rsidR="006C6824" w:rsidRPr="006E42CD" w:rsidRDefault="006C6824" w:rsidP="006C6824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6E42CD">
        <w:rPr>
          <w:rFonts w:ascii="Verdana" w:hAnsi="Verdana"/>
          <w:b/>
          <w:sz w:val="24"/>
          <w:szCs w:val="24"/>
        </w:rPr>
        <w:t>Procedura negoziata per la fornitura</w:t>
      </w:r>
      <w:r>
        <w:rPr>
          <w:rFonts w:ascii="Verdana" w:hAnsi="Verdana"/>
          <w:b/>
          <w:sz w:val="24"/>
          <w:szCs w:val="24"/>
        </w:rPr>
        <w:t xml:space="preserve"> in “Service”, di N. 2 </w:t>
      </w:r>
      <w:proofErr w:type="spellStart"/>
      <w:r>
        <w:rPr>
          <w:rFonts w:ascii="Verdana" w:hAnsi="Verdana"/>
          <w:b/>
          <w:sz w:val="24"/>
          <w:szCs w:val="24"/>
        </w:rPr>
        <w:t>Emogasanalizzatori</w:t>
      </w:r>
      <w:proofErr w:type="spellEnd"/>
      <w:r>
        <w:rPr>
          <w:rFonts w:ascii="Verdana" w:hAnsi="Verdana"/>
          <w:b/>
          <w:sz w:val="24"/>
          <w:szCs w:val="24"/>
        </w:rPr>
        <w:t xml:space="preserve"> e materiale di consumo per mesi dodici, per la Unità Operativa di Anestesia e Rianimazione e per la Unità Operativa di Pronto Soccorso e Medicina d’Urgenza</w:t>
      </w:r>
      <w:r w:rsidRPr="006E42CD">
        <w:rPr>
          <w:rFonts w:ascii="Verdana" w:hAnsi="Verdana"/>
          <w:b/>
          <w:sz w:val="24"/>
          <w:szCs w:val="24"/>
        </w:rPr>
        <w:t xml:space="preserve"> del Presidio Ospedaliero “San Giovanni di Dio” di Crotone.</w:t>
      </w:r>
      <w:r>
        <w:rPr>
          <w:rFonts w:ascii="Verdana" w:hAnsi="Verdana"/>
          <w:b/>
          <w:sz w:val="24"/>
          <w:szCs w:val="24"/>
        </w:rPr>
        <w:t xml:space="preserve"> Cod. CIG:</w:t>
      </w:r>
    </w:p>
    <w:p w:rsidR="006C6824" w:rsidRDefault="006C6824" w:rsidP="006C6824">
      <w:pPr>
        <w:rPr>
          <w:sz w:val="26"/>
          <w:szCs w:val="26"/>
        </w:rPr>
      </w:pPr>
    </w:p>
    <w:p w:rsidR="006C6824" w:rsidRDefault="006C6824" w:rsidP="006C6824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REQUISITI  MINIMI</w:t>
      </w:r>
    </w:p>
    <w:p w:rsidR="006C6824" w:rsidRDefault="006C6824" w:rsidP="006C6824">
      <w:pPr>
        <w:spacing w:after="0" w:line="240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Emogasanalizzatore</w:t>
      </w:r>
      <w:proofErr w:type="spellEnd"/>
      <w:r>
        <w:rPr>
          <w:sz w:val="26"/>
          <w:szCs w:val="26"/>
        </w:rPr>
        <w:t xml:space="preserve"> di ultimissima generazione di facile utilizzo, intuitivo e privo di manutenzione.</w:t>
      </w:r>
    </w:p>
    <w:p w:rsidR="006C6824" w:rsidRDefault="006C6824" w:rsidP="006C6824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Gestibile mediante uno schermo a colori </w:t>
      </w:r>
      <w:proofErr w:type="spellStart"/>
      <w:r>
        <w:rPr>
          <w:sz w:val="26"/>
          <w:szCs w:val="26"/>
        </w:rPr>
        <w:t>touch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screen</w:t>
      </w:r>
      <w:proofErr w:type="spellEnd"/>
      <w:r>
        <w:rPr>
          <w:sz w:val="26"/>
          <w:szCs w:val="26"/>
        </w:rPr>
        <w:t xml:space="preserve"> contenente indicazioni guida per l’esecuzione delle procedure di routine e sostituzione dei materiali di consumo.</w:t>
      </w:r>
    </w:p>
    <w:p w:rsidR="006C6824" w:rsidRDefault="006C6824" w:rsidP="006C6824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Parametri misurati:</w:t>
      </w:r>
    </w:p>
    <w:p w:rsidR="006C6824" w:rsidRDefault="006C6824" w:rsidP="006C6824">
      <w:pPr>
        <w:spacing w:after="0" w:line="240" w:lineRule="auto"/>
        <w:jc w:val="both"/>
        <w:rPr>
          <w:sz w:val="26"/>
          <w:szCs w:val="26"/>
        </w:rPr>
      </w:pPr>
      <w:r w:rsidRPr="006C6824">
        <w:rPr>
          <w:sz w:val="26"/>
          <w:szCs w:val="26"/>
        </w:rPr>
        <w:t xml:space="preserve">PH, P02, PC02, NA, K, </w:t>
      </w:r>
      <w:proofErr w:type="spellStart"/>
      <w:r w:rsidRPr="006C6824">
        <w:rPr>
          <w:sz w:val="26"/>
          <w:szCs w:val="26"/>
        </w:rPr>
        <w:t>CL</w:t>
      </w:r>
      <w:proofErr w:type="spellEnd"/>
      <w:r w:rsidRPr="006C6824">
        <w:rPr>
          <w:sz w:val="26"/>
          <w:szCs w:val="26"/>
        </w:rPr>
        <w:t>, CA++, THB, S02, 02HB, COHB, METHB, HHB, Glucosio, Lattato, Bili.</w:t>
      </w:r>
    </w:p>
    <w:p w:rsidR="006C6824" w:rsidRDefault="006C6824" w:rsidP="006C6824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Facilmente aggiornabile, flessibile e con possibilità: di aggiungere o togliere e selezionare i test più rispondenti alle mutate esigenze del momento.</w:t>
      </w:r>
    </w:p>
    <w:p w:rsidR="00895662" w:rsidRDefault="00895662" w:rsidP="006C6824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Campionamento unico per tutti i parametri richiesti.</w:t>
      </w:r>
    </w:p>
    <w:p w:rsidR="00895662" w:rsidRDefault="00895662" w:rsidP="006C6824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Possibilità di scelta tra diverse configurazioni di cartucce in base al quantitativo dei test che si intende effettuare.</w:t>
      </w:r>
    </w:p>
    <w:p w:rsidR="00895662" w:rsidRDefault="00895662" w:rsidP="006C6824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Tutti gli elettrodi devono essere privi di manutenzione e dunque non richiedere operazioni di </w:t>
      </w:r>
      <w:proofErr w:type="spellStart"/>
      <w:r>
        <w:rPr>
          <w:sz w:val="26"/>
          <w:szCs w:val="26"/>
        </w:rPr>
        <w:t>rimembranatura</w:t>
      </w:r>
      <w:proofErr w:type="spellEnd"/>
      <w:r>
        <w:rPr>
          <w:sz w:val="26"/>
          <w:szCs w:val="26"/>
        </w:rPr>
        <w:t>.</w:t>
      </w:r>
    </w:p>
    <w:p w:rsidR="00895662" w:rsidRDefault="00895662" w:rsidP="006C6824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 test deve poter essere effettuato sia mediante prelievo da siringa che capillare con un campione massimo di 120 </w:t>
      </w:r>
      <w:proofErr w:type="spellStart"/>
      <w:r>
        <w:rPr>
          <w:sz w:val="26"/>
          <w:szCs w:val="26"/>
        </w:rPr>
        <w:t>uL</w:t>
      </w:r>
      <w:proofErr w:type="spellEnd"/>
      <w:r>
        <w:rPr>
          <w:sz w:val="26"/>
          <w:szCs w:val="26"/>
        </w:rPr>
        <w:t>.</w:t>
      </w:r>
    </w:p>
    <w:p w:rsidR="00895662" w:rsidRDefault="00895662" w:rsidP="006C6824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Controlli di qualità automatici, basati su soluzioni a titolo noto, con tre differenti livelli di concentrazione per tutti i parametri analitici.</w:t>
      </w:r>
    </w:p>
    <w:p w:rsidR="00895662" w:rsidRDefault="00895662" w:rsidP="006C6824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Visualizzazione semplice ed immediata di tutti i parametri fuori controllo.</w:t>
      </w:r>
    </w:p>
    <w:p w:rsidR="00895662" w:rsidRDefault="00895662" w:rsidP="006C6824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Calibrazione automatica senza l’impiego di bombole o cartucce di gas. Tutte le soluzioni o materiali necessari all’attivazione/validazione dei parametri devono essere contenuti nella cartuccia reagenti Nessuna operazione di attivazione manuale o con soluzioni esterne devono essere richieste per l’attivazione delle cartucce.</w:t>
      </w:r>
    </w:p>
    <w:p w:rsidR="00895662" w:rsidRDefault="00895662" w:rsidP="006C6824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Filmati guida integrati nel sistema per procedure operative.</w:t>
      </w:r>
    </w:p>
    <w:p w:rsidR="00895662" w:rsidRDefault="00895662" w:rsidP="006C6824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Possibilità futura di collegare l’apparecchiatura al sistema informatico sia mediante cavo rete che mediante dispositivo wireless.</w:t>
      </w:r>
    </w:p>
    <w:p w:rsidR="00895662" w:rsidRDefault="00895662" w:rsidP="006C6824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Possibilità di esportazione dei dati paziente e configurazione strumentale via memoria USB.</w:t>
      </w:r>
    </w:p>
    <w:p w:rsidR="00895662" w:rsidRPr="006C6824" w:rsidRDefault="00C2128C" w:rsidP="006C6824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L’assistenza tecnica deve essere di tipo </w:t>
      </w:r>
      <w:proofErr w:type="spellStart"/>
      <w:r>
        <w:rPr>
          <w:sz w:val="26"/>
          <w:szCs w:val="26"/>
        </w:rPr>
        <w:t>full-risk</w:t>
      </w:r>
      <w:proofErr w:type="spellEnd"/>
      <w:r>
        <w:rPr>
          <w:sz w:val="26"/>
          <w:szCs w:val="26"/>
        </w:rPr>
        <w:t xml:space="preserve"> e deve prevedere la risoluzione del problema (anche in modalità di accesso remoto) o la sostituzione delle apparecchiature in un tempo massimo.</w:t>
      </w:r>
    </w:p>
    <w:p w:rsidR="006C6824" w:rsidRPr="006C6824" w:rsidRDefault="006C6824" w:rsidP="006C6824">
      <w:pPr>
        <w:jc w:val="both"/>
        <w:rPr>
          <w:sz w:val="26"/>
          <w:szCs w:val="26"/>
        </w:rPr>
      </w:pPr>
    </w:p>
    <w:p w:rsidR="006C6824" w:rsidRDefault="006C6824" w:rsidP="006C6824">
      <w:pPr>
        <w:jc w:val="both"/>
      </w:pPr>
    </w:p>
    <w:p w:rsidR="00C2128C" w:rsidRDefault="00C2128C" w:rsidP="00C2128C">
      <w:pPr>
        <w:spacing w:after="0" w:line="360" w:lineRule="auto"/>
        <w:jc w:val="both"/>
        <w:rPr>
          <w:rFonts w:ascii="Verdana" w:hAnsi="Verdan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Verdana" w:hAnsi="Verdana"/>
        </w:rPr>
        <w:t>Per accettazione</w:t>
      </w:r>
    </w:p>
    <w:p w:rsidR="00C2128C" w:rsidRDefault="00C2128C" w:rsidP="00C2128C">
      <w:pPr>
        <w:spacing w:after="0" w:line="360" w:lineRule="auto"/>
        <w:jc w:val="both"/>
        <w:rPr>
          <w:rFonts w:ascii="Verdana" w:hAnsi="Verdana"/>
        </w:rPr>
      </w:pPr>
    </w:p>
    <w:p w:rsidR="00C2128C" w:rsidRDefault="00C2128C" w:rsidP="00C2128C">
      <w:pPr>
        <w:spacing w:after="0" w:line="360" w:lineRule="auto"/>
        <w:ind w:left="3540" w:firstLine="708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</w:t>
      </w:r>
    </w:p>
    <w:p w:rsidR="00C2128C" w:rsidRDefault="00C2128C" w:rsidP="00C2128C">
      <w:pPr>
        <w:spacing w:after="0" w:line="360" w:lineRule="auto"/>
        <w:ind w:left="2832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   timbro e firma del Legale Rappresentante</w:t>
      </w:r>
    </w:p>
    <w:p w:rsidR="00C2128C" w:rsidRDefault="00C2128C" w:rsidP="00C2128C">
      <w:pPr>
        <w:spacing w:after="0" w:line="360" w:lineRule="auto"/>
        <w:jc w:val="both"/>
        <w:rPr>
          <w:rFonts w:ascii="Verdana" w:hAnsi="Verdana"/>
        </w:rPr>
      </w:pPr>
    </w:p>
    <w:p w:rsidR="00C2128C" w:rsidRPr="006C6824" w:rsidRDefault="00C2128C" w:rsidP="006C6824">
      <w:pPr>
        <w:jc w:val="both"/>
      </w:pPr>
    </w:p>
    <w:sectPr w:rsidR="00C2128C" w:rsidRPr="006C6824" w:rsidSect="00D375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6C6824"/>
    <w:rsid w:val="006C6824"/>
    <w:rsid w:val="00895662"/>
    <w:rsid w:val="00C2128C"/>
    <w:rsid w:val="00D37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751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8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1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3</cp:revision>
  <dcterms:created xsi:type="dcterms:W3CDTF">2016-06-21T12:06:00Z</dcterms:created>
  <dcterms:modified xsi:type="dcterms:W3CDTF">2016-06-21T14:28:00Z</dcterms:modified>
</cp:coreProperties>
</file>